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905D5" w14:textId="5691BFD1" w:rsidR="00B62777" w:rsidRDefault="00000000">
      <w:pPr>
        <w:pStyle w:val="Corpsdetexte"/>
        <w:ind w:left="4870"/>
        <w:rPr>
          <w:rFonts w:ascii="Times New Roman"/>
          <w:sz w:val="20"/>
        </w:rPr>
      </w:pPr>
      <w:r>
        <w:rPr>
          <w:rFonts w:ascii="Times New Roman"/>
          <w:noProof/>
          <w:sz w:val="20"/>
        </w:rPr>
        <w:drawing>
          <wp:inline distT="0" distB="0" distL="0" distR="0" wp14:anchorId="1C1C0030" wp14:editId="30788DCB">
            <wp:extent cx="647528" cy="487679"/>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5" cstate="print"/>
                    <a:stretch>
                      <a:fillRect/>
                    </a:stretch>
                  </pic:blipFill>
                  <pic:spPr>
                    <a:xfrm>
                      <a:off x="0" y="0"/>
                      <a:ext cx="647528" cy="487679"/>
                    </a:xfrm>
                    <a:prstGeom prst="rect">
                      <a:avLst/>
                    </a:prstGeom>
                  </pic:spPr>
                </pic:pic>
              </a:graphicData>
            </a:graphic>
          </wp:inline>
        </w:drawing>
      </w:r>
    </w:p>
    <w:p w14:paraId="73918E6C" w14:textId="77777777" w:rsidR="00B62777" w:rsidRDefault="00B62777">
      <w:pPr>
        <w:pStyle w:val="Corpsdetexte"/>
        <w:spacing w:before="9"/>
        <w:rPr>
          <w:rFonts w:ascii="Times New Roman"/>
          <w:sz w:val="12"/>
        </w:rPr>
      </w:pPr>
    </w:p>
    <w:p w14:paraId="3211C177" w14:textId="77777777" w:rsidR="00B62777" w:rsidRDefault="00000000">
      <w:pPr>
        <w:pStyle w:val="Titre"/>
      </w:pPr>
      <w:r>
        <w:rPr>
          <w:color w:val="00C1DE"/>
        </w:rPr>
        <w:t>PROJETS DE SUPERGRAPPE DES OCÉANS DU CANADA - POLITIQUE SUR LES MÉDIAS</w:t>
      </w:r>
    </w:p>
    <w:p w14:paraId="6E37D25C" w14:textId="77777777" w:rsidR="00B62777" w:rsidRDefault="00000000">
      <w:pPr>
        <w:pStyle w:val="Corpsdetexte"/>
        <w:ind w:left="699" w:right="125"/>
      </w:pPr>
      <w:r>
        <w:t>Supergrappe des océans du Canada attire régulièrement l’attention des médias, offrant ainsi une occasion importante de partager de l’information publiquement, de sensibiliser le public et de célébrer les réussites. Par conséquent, cela présente également des occasions médiatiques pour les partenaires de projet. Avant de communiquer avec les médias au sujet de SOC ou des projets de SOC, les partenaires de projet doivent respecter la politique sur les médias suivante :</w:t>
      </w:r>
    </w:p>
    <w:p w14:paraId="6E8E1558" w14:textId="77777777" w:rsidR="00B62777" w:rsidRDefault="00B62777">
      <w:pPr>
        <w:pStyle w:val="Corpsdetexte"/>
        <w:rPr>
          <w:sz w:val="22"/>
        </w:rPr>
      </w:pPr>
    </w:p>
    <w:p w14:paraId="5BD5CFF9" w14:textId="77777777" w:rsidR="00B62777" w:rsidRDefault="00000000">
      <w:pPr>
        <w:pStyle w:val="Corpsdetexte"/>
        <w:ind w:left="699" w:right="194"/>
      </w:pPr>
      <w:r>
        <w:rPr>
          <w:b/>
          <w:color w:val="00C1DE"/>
        </w:rPr>
        <w:t xml:space="preserve">Respect de la Convention unanime des membres et de l’Entente de projet de leadership technologique (PLT) </w:t>
      </w:r>
      <w:r>
        <w:rPr>
          <w:b/>
        </w:rPr>
        <w:t xml:space="preserve">- </w:t>
      </w:r>
      <w:r>
        <w:t>On rappelle aux partenaires du projet de se référer aux dispositions de la Convention unanime des membres et de l’Entente de projet de leadership technologique (PLT) qui fournissent des directives précises et des obligations détaillées des parties lorsqu’ils envisagent ou font des annonces publiques, des communiqués de presse ou une forme similaire de sensibilisation aux médias d’information.</w:t>
      </w:r>
    </w:p>
    <w:p w14:paraId="349858CD" w14:textId="77777777" w:rsidR="00B62777" w:rsidRDefault="00B62777">
      <w:pPr>
        <w:pStyle w:val="Corpsdetexte"/>
        <w:spacing w:before="10"/>
        <w:rPr>
          <w:sz w:val="19"/>
        </w:rPr>
      </w:pPr>
    </w:p>
    <w:p w14:paraId="5393860A" w14:textId="77777777" w:rsidR="00B62777" w:rsidRDefault="00000000">
      <w:pPr>
        <w:pStyle w:val="Corpsdetexte"/>
        <w:ind w:left="699" w:right="210"/>
      </w:pPr>
      <w:r>
        <w:t>Cela s’applique aux médias conventionnels et sociaux lorsque l’intention est d’annoncer un projet ou de fournir publiquement de nouvelles informations sur le projet ou une présentation aux médias d’information. Cela ne s’applique toutefois pas à la publicité continue du produit ou du service dans les médias conventionnels ou sociaux, une fois que le projet a été officiellement annoncé.</w:t>
      </w:r>
    </w:p>
    <w:p w14:paraId="5D8A181B" w14:textId="77777777" w:rsidR="00B62777" w:rsidRDefault="00B62777">
      <w:pPr>
        <w:pStyle w:val="Corpsdetexte"/>
        <w:spacing w:before="2"/>
        <w:rPr>
          <w:sz w:val="22"/>
        </w:rPr>
      </w:pPr>
    </w:p>
    <w:p w14:paraId="15CBA1EC" w14:textId="77777777" w:rsidR="00B62777" w:rsidRDefault="00000000">
      <w:pPr>
        <w:pStyle w:val="Corpsdetexte"/>
        <w:ind w:left="700" w:right="153"/>
      </w:pPr>
      <w:r>
        <w:rPr>
          <w:b/>
          <w:color w:val="00C1DE"/>
        </w:rPr>
        <w:t xml:space="preserve">Annonces de projet </w:t>
      </w:r>
      <w:r>
        <w:rPr>
          <w:b/>
        </w:rPr>
        <w:t xml:space="preserve">– </w:t>
      </w:r>
      <w:r>
        <w:t>Une fois qu’un projet est mis au point et que l’entente est signée, SOC dirige alors la planification et l’exécution des annonces publiques en collaboration avec l’équipe du projet. Cela comprend une série de réunions pour déterminer les détails sur le calendrier, le lieu, les porte-parole et l’élaboration du communiqué de presse d’annonce de projet. SOC est tenue de donner un préavis d’au moins 12 jours au gouvernement du Canada avant d’annoncer publiquement un nouveau projet, et, par conséquent, cela est considéré comme faisant partie du calendrier inversé élaboré pour toutes les annonces de projet.</w:t>
      </w:r>
    </w:p>
    <w:p w14:paraId="400F939B" w14:textId="77777777" w:rsidR="00B62777" w:rsidRDefault="00B62777">
      <w:pPr>
        <w:pStyle w:val="Corpsdetexte"/>
        <w:spacing w:before="3"/>
        <w:rPr>
          <w:sz w:val="22"/>
        </w:rPr>
      </w:pPr>
    </w:p>
    <w:p w14:paraId="309E75FB" w14:textId="77777777" w:rsidR="00B62777" w:rsidRDefault="00000000">
      <w:pPr>
        <w:pStyle w:val="Corpsdetexte"/>
        <w:spacing w:before="1"/>
        <w:ind w:left="699" w:right="121"/>
      </w:pPr>
      <w:r>
        <w:rPr>
          <w:b/>
          <w:color w:val="00C1DE"/>
        </w:rPr>
        <w:t xml:space="preserve">Occasions proactives pour les médias </w:t>
      </w:r>
      <w:r>
        <w:rPr>
          <w:b/>
        </w:rPr>
        <w:t xml:space="preserve">- </w:t>
      </w:r>
      <w:r>
        <w:t>Lors de la planification d’une présentation proactive de nouvelles aux médias au sujet de SOC ou de projets de SOC, les partenaires du projet doivent informer le représentant désigné de SOC de leurs intentions et partager tout document préliminaire à des fins d’examen, de commentaires et d’approbation avant la finalisation et la publication. Cela inclut des outils de sensibilisation des médias qui peuvent être diffusés via les médias conventionnels ou sociaux et comprennent :</w:t>
      </w:r>
    </w:p>
    <w:p w14:paraId="4A20DB66" w14:textId="77777777" w:rsidR="00B62777" w:rsidRDefault="00B62777">
      <w:pPr>
        <w:pStyle w:val="Corpsdetexte"/>
        <w:spacing w:before="7"/>
        <w:rPr>
          <w:sz w:val="19"/>
        </w:rPr>
      </w:pPr>
    </w:p>
    <w:p w14:paraId="698DC140" w14:textId="77777777" w:rsidR="00B62777" w:rsidRDefault="00000000">
      <w:pPr>
        <w:pStyle w:val="Paragraphedeliste"/>
        <w:numPr>
          <w:ilvl w:val="0"/>
          <w:numId w:val="1"/>
        </w:numPr>
        <w:tabs>
          <w:tab w:val="left" w:pos="972"/>
        </w:tabs>
        <w:ind w:hanging="273"/>
        <w:rPr>
          <w:sz w:val="24"/>
        </w:rPr>
      </w:pPr>
      <w:r>
        <w:rPr>
          <w:sz w:val="24"/>
        </w:rPr>
        <w:t>Des avis aux médias;</w:t>
      </w:r>
    </w:p>
    <w:p w14:paraId="7E3BB559" w14:textId="77777777" w:rsidR="00B62777" w:rsidRDefault="00000000">
      <w:pPr>
        <w:pStyle w:val="Paragraphedeliste"/>
        <w:numPr>
          <w:ilvl w:val="0"/>
          <w:numId w:val="1"/>
        </w:numPr>
        <w:tabs>
          <w:tab w:val="left" w:pos="972"/>
        </w:tabs>
        <w:spacing w:before="2"/>
        <w:ind w:hanging="273"/>
        <w:rPr>
          <w:sz w:val="24"/>
        </w:rPr>
      </w:pPr>
      <w:r>
        <w:rPr>
          <w:sz w:val="24"/>
        </w:rPr>
        <w:t>Des communiqués de presse;</w:t>
      </w:r>
    </w:p>
    <w:p w14:paraId="53A91642" w14:textId="77777777" w:rsidR="00B62777" w:rsidRDefault="00000000">
      <w:pPr>
        <w:pStyle w:val="Paragraphedeliste"/>
        <w:numPr>
          <w:ilvl w:val="0"/>
          <w:numId w:val="1"/>
        </w:numPr>
        <w:tabs>
          <w:tab w:val="left" w:pos="972"/>
        </w:tabs>
        <w:ind w:hanging="273"/>
        <w:rPr>
          <w:sz w:val="24"/>
        </w:rPr>
      </w:pPr>
      <w:r>
        <w:rPr>
          <w:sz w:val="24"/>
        </w:rPr>
        <w:t>Des déclarations aux médias ;</w:t>
      </w:r>
    </w:p>
    <w:p w14:paraId="18C7D6CB" w14:textId="77777777" w:rsidR="00B62777" w:rsidRDefault="00000000">
      <w:pPr>
        <w:pStyle w:val="Paragraphedeliste"/>
        <w:numPr>
          <w:ilvl w:val="0"/>
          <w:numId w:val="1"/>
        </w:numPr>
        <w:tabs>
          <w:tab w:val="left" w:pos="972"/>
        </w:tabs>
        <w:ind w:hanging="273"/>
        <w:rPr>
          <w:sz w:val="24"/>
        </w:rPr>
      </w:pPr>
      <w:r>
        <w:rPr>
          <w:sz w:val="24"/>
        </w:rPr>
        <w:t>Des comités éditoriaux;</w:t>
      </w:r>
    </w:p>
    <w:p w14:paraId="4587E40A" w14:textId="77777777" w:rsidR="00B62777" w:rsidRDefault="00000000">
      <w:pPr>
        <w:pStyle w:val="Paragraphedeliste"/>
        <w:numPr>
          <w:ilvl w:val="0"/>
          <w:numId w:val="1"/>
        </w:numPr>
        <w:tabs>
          <w:tab w:val="left" w:pos="972"/>
        </w:tabs>
        <w:ind w:right="464"/>
        <w:rPr>
          <w:sz w:val="24"/>
        </w:rPr>
      </w:pPr>
      <w:r>
        <w:rPr>
          <w:sz w:val="24"/>
        </w:rPr>
        <w:t>Présentation de nouvelles aux médias en personne, par téléphone, par courriel, dans les médias sociaux et autres moyens.</w:t>
      </w:r>
    </w:p>
    <w:p w14:paraId="0944399D" w14:textId="3C7EDF46" w:rsidR="00B62777" w:rsidRDefault="00B62777">
      <w:pPr>
        <w:pStyle w:val="Corpsdetexte"/>
        <w:spacing w:before="2"/>
        <w:rPr>
          <w:sz w:val="22"/>
        </w:rPr>
      </w:pPr>
    </w:p>
    <w:p w14:paraId="248BF830" w14:textId="77777777" w:rsidR="00E546BF" w:rsidRDefault="00E546BF">
      <w:pPr>
        <w:rPr>
          <w:b/>
          <w:color w:val="00C1DE"/>
          <w:sz w:val="24"/>
          <w:szCs w:val="24"/>
        </w:rPr>
      </w:pPr>
      <w:r>
        <w:rPr>
          <w:b/>
          <w:color w:val="00C1DE"/>
        </w:rPr>
        <w:br w:type="page"/>
      </w:r>
    </w:p>
    <w:p w14:paraId="775E7773" w14:textId="77777777" w:rsidR="00E546BF" w:rsidRDefault="00E546BF" w:rsidP="00E546BF">
      <w:pPr>
        <w:pStyle w:val="Corpsdetexte"/>
        <w:ind w:left="699" w:right="389"/>
        <w:rPr>
          <w:b/>
          <w:color w:val="00C1DE"/>
        </w:rPr>
      </w:pPr>
    </w:p>
    <w:p w14:paraId="3204AC36" w14:textId="77777777" w:rsidR="00E546BF" w:rsidRDefault="00E546BF" w:rsidP="00E546BF">
      <w:pPr>
        <w:pStyle w:val="Corpsdetexte"/>
        <w:ind w:left="699" w:right="389"/>
        <w:rPr>
          <w:b/>
          <w:color w:val="00C1DE"/>
        </w:rPr>
      </w:pPr>
    </w:p>
    <w:p w14:paraId="17021764" w14:textId="77777777" w:rsidR="00E546BF" w:rsidRDefault="00E546BF" w:rsidP="00E546BF">
      <w:pPr>
        <w:pStyle w:val="Corpsdetexte"/>
        <w:ind w:left="699" w:right="389"/>
        <w:rPr>
          <w:b/>
          <w:color w:val="00C1DE"/>
        </w:rPr>
      </w:pPr>
    </w:p>
    <w:p w14:paraId="553ACDDA" w14:textId="77777777" w:rsidR="00E546BF" w:rsidRDefault="00E546BF" w:rsidP="00E546BF">
      <w:pPr>
        <w:pStyle w:val="Corpsdetexte"/>
        <w:ind w:left="699" w:right="389"/>
        <w:rPr>
          <w:b/>
          <w:color w:val="00C1DE"/>
        </w:rPr>
      </w:pPr>
    </w:p>
    <w:p w14:paraId="048BA8ED" w14:textId="40C2463B" w:rsidR="00E546BF" w:rsidRDefault="00E546BF" w:rsidP="00E546BF">
      <w:pPr>
        <w:pStyle w:val="Corpsdetexte"/>
        <w:ind w:left="699" w:right="389"/>
        <w:rPr>
          <w:b/>
          <w:color w:val="00C1DE"/>
        </w:rPr>
      </w:pPr>
      <w:r>
        <w:rPr>
          <w:noProof/>
          <w:sz w:val="20"/>
        </w:rPr>
        <w:drawing>
          <wp:inline distT="0" distB="0" distL="0" distR="0" wp14:anchorId="780D262A" wp14:editId="1E78A311">
            <wp:extent cx="2052462" cy="394334"/>
            <wp:effectExtent l="0" t="0" r="0" b="0"/>
            <wp:docPr id="5" name="image4.png" descr="Une image contenant Police, Graphique, graphisme, tex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png" descr="Une image contenant Police, Graphique, graphisme, texte&#10;&#10;Le contenu généré par l’IA peut être incorrect."/>
                    <pic:cNvPicPr/>
                  </pic:nvPicPr>
                  <pic:blipFill>
                    <a:blip r:embed="rId6" cstate="print"/>
                    <a:stretch>
                      <a:fillRect/>
                    </a:stretch>
                  </pic:blipFill>
                  <pic:spPr>
                    <a:xfrm>
                      <a:off x="0" y="0"/>
                      <a:ext cx="2052462" cy="394334"/>
                    </a:xfrm>
                    <a:prstGeom prst="rect">
                      <a:avLst/>
                    </a:prstGeom>
                  </pic:spPr>
                </pic:pic>
              </a:graphicData>
            </a:graphic>
          </wp:inline>
        </w:drawing>
      </w:r>
    </w:p>
    <w:p w14:paraId="2A62A659" w14:textId="77777777" w:rsidR="00E546BF" w:rsidRDefault="00E546BF" w:rsidP="00E546BF">
      <w:pPr>
        <w:pStyle w:val="Corpsdetexte"/>
        <w:ind w:left="699" w:right="389"/>
        <w:rPr>
          <w:b/>
          <w:color w:val="00C1DE"/>
        </w:rPr>
      </w:pPr>
    </w:p>
    <w:p w14:paraId="4C68B347" w14:textId="77777777" w:rsidR="00E546BF" w:rsidRDefault="00E546BF" w:rsidP="00E546BF">
      <w:pPr>
        <w:pStyle w:val="Corpsdetexte"/>
        <w:ind w:left="699" w:right="389"/>
        <w:rPr>
          <w:b/>
          <w:color w:val="00C1DE"/>
        </w:rPr>
      </w:pPr>
    </w:p>
    <w:p w14:paraId="74D340DD" w14:textId="2A3A63DD" w:rsidR="00B62777" w:rsidRPr="00E546BF" w:rsidRDefault="00000000" w:rsidP="00E546BF">
      <w:pPr>
        <w:pStyle w:val="Corpsdetexte"/>
        <w:ind w:left="699" w:right="389"/>
        <w:rPr>
          <w:sz w:val="20"/>
        </w:rPr>
      </w:pPr>
      <w:r>
        <w:rPr>
          <w:b/>
          <w:color w:val="00C1DE"/>
        </w:rPr>
        <w:t xml:space="preserve">Occasions de médias réactifs </w:t>
      </w:r>
      <w:r>
        <w:rPr>
          <w:b/>
        </w:rPr>
        <w:t xml:space="preserve">- </w:t>
      </w:r>
      <w:r>
        <w:t>Lorsqu’ils répondent à des demandes des médias au sujet de SOC ou des projets de SOC, les partenaires de projet sont tenus d’informer le représentant désigné de SOC de la demande, de ses détails et de son intention d’accepter ou de refuser l’occasion. Si accepté, tout document préparé en réponse à la demande des médias doit être fourni à SOC à des fins d’examen,</w:t>
      </w:r>
      <w:r>
        <w:pict w14:anchorId="2423AC56">
          <v:group id="docshapegroup1" o:spid="_x0000_s1026" style="position:absolute;left:0;text-align:left;margin-left:.5pt;margin-top:690.3pt;width:611.25pt;height:101.7pt;z-index:15729152;mso-position-horizontal-relative:page;mso-position-vertical-relative:page" coordorigin="10,13806" coordsize="12225,20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8" type="#_x0000_t75" style="position:absolute;left:10;top:13806;width:12225;height:2034">
              <v:imagedata r:id="rId7" o:title=""/>
            </v:shape>
            <v:shapetype id="_x0000_t202" coordsize="21600,21600" o:spt="202" path="m,l,21600r21600,l21600,xe">
              <v:stroke joinstyle="miter"/>
              <v:path gradientshapeok="t" o:connecttype="rect"/>
            </v:shapetype>
            <v:shape id="docshape3" o:spid="_x0000_s1027" type="#_x0000_t202" style="position:absolute;left:11700;top:14949;width:130;height:296" filled="f" stroked="f">
              <v:textbox style="mso-next-textbox:#docshape3" inset="0,0,0,0">
                <w:txbxContent>
                  <w:p w14:paraId="565E3E31" w14:textId="77777777" w:rsidR="00B62777" w:rsidRDefault="00000000">
                    <w:pPr>
                      <w:spacing w:before="8"/>
                      <w:rPr>
                        <w:rFonts w:ascii="Arial Narrow"/>
                        <w:sz w:val="24"/>
                      </w:rPr>
                    </w:pPr>
                    <w:r>
                      <w:rPr>
                        <w:rFonts w:ascii="Arial Narrow"/>
                        <w:sz w:val="24"/>
                      </w:rPr>
                      <w:t>2</w:t>
                    </w:r>
                  </w:p>
                </w:txbxContent>
              </v:textbox>
            </v:shape>
            <w10:wrap anchorx="page" anchory="page"/>
          </v:group>
        </w:pict>
      </w:r>
      <w:r w:rsidR="00E546BF">
        <w:rPr>
          <w:sz w:val="20"/>
        </w:rPr>
        <w:t xml:space="preserve"> </w:t>
      </w:r>
      <w:r>
        <w:t>de commentaires et d’approbation avant la finalisation et la publication. Cela inclut des demandes des médias sur les plateformes conventionnelles et les médias sociaux et comprend :</w:t>
      </w:r>
    </w:p>
    <w:p w14:paraId="676C6215" w14:textId="77777777" w:rsidR="00B62777" w:rsidRDefault="00000000">
      <w:pPr>
        <w:pStyle w:val="Paragraphedeliste"/>
        <w:numPr>
          <w:ilvl w:val="0"/>
          <w:numId w:val="1"/>
        </w:numPr>
        <w:tabs>
          <w:tab w:val="left" w:pos="972"/>
        </w:tabs>
        <w:spacing w:before="119"/>
        <w:rPr>
          <w:sz w:val="24"/>
        </w:rPr>
      </w:pPr>
      <w:r>
        <w:rPr>
          <w:sz w:val="24"/>
        </w:rPr>
        <w:t>Des entrevues avec les médias;</w:t>
      </w:r>
    </w:p>
    <w:p w14:paraId="43FBACF3" w14:textId="77777777" w:rsidR="00B62777" w:rsidRDefault="00000000">
      <w:pPr>
        <w:pStyle w:val="Paragraphedeliste"/>
        <w:numPr>
          <w:ilvl w:val="0"/>
          <w:numId w:val="1"/>
        </w:numPr>
        <w:tabs>
          <w:tab w:val="left" w:pos="972"/>
        </w:tabs>
        <w:rPr>
          <w:sz w:val="24"/>
        </w:rPr>
      </w:pPr>
      <w:r>
        <w:rPr>
          <w:sz w:val="24"/>
        </w:rPr>
        <w:t>Des déclarations aux médias;</w:t>
      </w:r>
    </w:p>
    <w:p w14:paraId="2926C0A5" w14:textId="77777777" w:rsidR="00B62777" w:rsidRDefault="00000000">
      <w:pPr>
        <w:pStyle w:val="Paragraphedeliste"/>
        <w:numPr>
          <w:ilvl w:val="0"/>
          <w:numId w:val="1"/>
        </w:numPr>
        <w:tabs>
          <w:tab w:val="left" w:pos="972"/>
        </w:tabs>
        <w:ind w:hanging="273"/>
        <w:rPr>
          <w:sz w:val="24"/>
        </w:rPr>
      </w:pPr>
      <w:r>
        <w:rPr>
          <w:sz w:val="24"/>
        </w:rPr>
        <w:t>Une demande de renseignements généraux aux fins d’un reportage;</w:t>
      </w:r>
    </w:p>
    <w:p w14:paraId="4EB92FAA" w14:textId="77777777" w:rsidR="00B62777" w:rsidRDefault="00000000">
      <w:pPr>
        <w:pStyle w:val="Paragraphedeliste"/>
        <w:numPr>
          <w:ilvl w:val="0"/>
          <w:numId w:val="1"/>
        </w:numPr>
        <w:tabs>
          <w:tab w:val="left" w:pos="974"/>
        </w:tabs>
        <w:ind w:left="973" w:right="368" w:hanging="274"/>
        <w:rPr>
          <w:sz w:val="24"/>
        </w:rPr>
      </w:pPr>
      <w:r>
        <w:rPr>
          <w:sz w:val="24"/>
        </w:rPr>
        <w:t>La réception de questions des médias en personne, par téléphone, par courriel, dans les médias sociaux et autres moyens.</w:t>
      </w:r>
    </w:p>
    <w:p w14:paraId="31666FAA" w14:textId="77777777" w:rsidR="00B62777" w:rsidRDefault="00B62777">
      <w:pPr>
        <w:pStyle w:val="Corpsdetexte"/>
        <w:spacing w:before="7"/>
        <w:rPr>
          <w:sz w:val="19"/>
        </w:rPr>
      </w:pPr>
    </w:p>
    <w:p w14:paraId="41D69D9B" w14:textId="77777777" w:rsidR="00B62777" w:rsidRDefault="00000000">
      <w:pPr>
        <w:pStyle w:val="Corpsdetexte"/>
        <w:spacing w:before="1"/>
        <w:ind w:left="700" w:right="372"/>
        <w:jc w:val="both"/>
      </w:pPr>
      <w:r>
        <w:t>Si des partenaires du projet sont approchés lors d’une annonce, d’un événement ou d’une autre façon pour une entrevue sur place (ou fait l’objet d’une « embuscade ») au sujet de SOC ou d’un projet de SOC sans préavis, le partenaire du projet devrait s’engager en utilisant son jugement et en aviser SOC dès que possible après l’interaction avec les médias.</w:t>
      </w:r>
    </w:p>
    <w:p w14:paraId="61691CC5" w14:textId="77777777" w:rsidR="00B62777" w:rsidRDefault="00B62777">
      <w:pPr>
        <w:pStyle w:val="Corpsdetexte"/>
        <w:spacing w:before="9"/>
        <w:rPr>
          <w:sz w:val="19"/>
        </w:rPr>
      </w:pPr>
    </w:p>
    <w:p w14:paraId="1881AD20" w14:textId="77777777" w:rsidR="00B62777" w:rsidRDefault="00000000">
      <w:pPr>
        <w:pStyle w:val="Corpsdetexte"/>
        <w:ind w:left="700"/>
      </w:pPr>
      <w:r>
        <w:t>Toutes les demandes des médias concernant SOC doivent être adressées à la directrice de l’engagement et de la communication :</w:t>
      </w:r>
    </w:p>
    <w:p w14:paraId="41DB6C42" w14:textId="77777777" w:rsidR="00B62777" w:rsidRDefault="00000000">
      <w:pPr>
        <w:pStyle w:val="Corpsdetexte"/>
        <w:spacing w:before="120"/>
        <w:ind w:right="119"/>
        <w:jc w:val="right"/>
      </w:pPr>
      <w:hyperlink r:id="rId8">
        <w:r>
          <w:t>nancy.andrews@oceansupercluster.ca</w:t>
        </w:r>
      </w:hyperlink>
    </w:p>
    <w:p w14:paraId="19D4EC55" w14:textId="77777777" w:rsidR="00B62777" w:rsidRDefault="00000000">
      <w:pPr>
        <w:pStyle w:val="Corpsdetexte"/>
        <w:ind w:right="115"/>
        <w:jc w:val="right"/>
      </w:pPr>
      <w:r>
        <w:t>709 725 7070</w:t>
      </w:r>
    </w:p>
    <w:sectPr w:rsidR="00B62777">
      <w:pgSz w:w="12240" w:h="15840"/>
      <w:pgMar w:top="440" w:right="1320" w:bottom="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3F2178"/>
    <w:multiLevelType w:val="hybridMultilevel"/>
    <w:tmpl w:val="5C6E3A10"/>
    <w:lvl w:ilvl="0" w:tplc="E86E4344">
      <w:numFmt w:val="bullet"/>
      <w:lvlText w:val="•"/>
      <w:lvlJc w:val="left"/>
      <w:pPr>
        <w:ind w:left="971" w:hanging="272"/>
      </w:pPr>
      <w:rPr>
        <w:rFonts w:ascii="Calibri" w:eastAsia="Calibri" w:hAnsi="Calibri" w:cs="Calibri" w:hint="default"/>
        <w:b w:val="0"/>
        <w:bCs w:val="0"/>
        <w:i w:val="0"/>
        <w:iCs w:val="0"/>
        <w:sz w:val="24"/>
        <w:szCs w:val="24"/>
        <w:lang w:val="en-US" w:eastAsia="en-US" w:bidi="ar-SA"/>
      </w:rPr>
    </w:lvl>
    <w:lvl w:ilvl="1" w:tplc="0B60CB1E">
      <w:numFmt w:val="bullet"/>
      <w:lvlText w:val="•"/>
      <w:lvlJc w:val="left"/>
      <w:pPr>
        <w:ind w:left="1900" w:hanging="272"/>
      </w:pPr>
      <w:rPr>
        <w:rFonts w:hint="default"/>
        <w:lang w:val="en-US" w:eastAsia="en-US" w:bidi="ar-SA"/>
      </w:rPr>
    </w:lvl>
    <w:lvl w:ilvl="2" w:tplc="EB469420">
      <w:numFmt w:val="bullet"/>
      <w:lvlText w:val="•"/>
      <w:lvlJc w:val="left"/>
      <w:pPr>
        <w:ind w:left="2820" w:hanging="272"/>
      </w:pPr>
      <w:rPr>
        <w:rFonts w:hint="default"/>
        <w:lang w:val="en-US" w:eastAsia="en-US" w:bidi="ar-SA"/>
      </w:rPr>
    </w:lvl>
    <w:lvl w:ilvl="3" w:tplc="2006EDDA">
      <w:numFmt w:val="bullet"/>
      <w:lvlText w:val="•"/>
      <w:lvlJc w:val="left"/>
      <w:pPr>
        <w:ind w:left="3740" w:hanging="272"/>
      </w:pPr>
      <w:rPr>
        <w:rFonts w:hint="default"/>
        <w:lang w:val="en-US" w:eastAsia="en-US" w:bidi="ar-SA"/>
      </w:rPr>
    </w:lvl>
    <w:lvl w:ilvl="4" w:tplc="690ED85E">
      <w:numFmt w:val="bullet"/>
      <w:lvlText w:val="•"/>
      <w:lvlJc w:val="left"/>
      <w:pPr>
        <w:ind w:left="4660" w:hanging="272"/>
      </w:pPr>
      <w:rPr>
        <w:rFonts w:hint="default"/>
        <w:lang w:val="en-US" w:eastAsia="en-US" w:bidi="ar-SA"/>
      </w:rPr>
    </w:lvl>
    <w:lvl w:ilvl="5" w:tplc="44AA8CFC">
      <w:numFmt w:val="bullet"/>
      <w:lvlText w:val="•"/>
      <w:lvlJc w:val="left"/>
      <w:pPr>
        <w:ind w:left="5580" w:hanging="272"/>
      </w:pPr>
      <w:rPr>
        <w:rFonts w:hint="default"/>
        <w:lang w:val="en-US" w:eastAsia="en-US" w:bidi="ar-SA"/>
      </w:rPr>
    </w:lvl>
    <w:lvl w:ilvl="6" w:tplc="3F562A10">
      <w:numFmt w:val="bullet"/>
      <w:lvlText w:val="•"/>
      <w:lvlJc w:val="left"/>
      <w:pPr>
        <w:ind w:left="6500" w:hanging="272"/>
      </w:pPr>
      <w:rPr>
        <w:rFonts w:hint="default"/>
        <w:lang w:val="en-US" w:eastAsia="en-US" w:bidi="ar-SA"/>
      </w:rPr>
    </w:lvl>
    <w:lvl w:ilvl="7" w:tplc="26641060">
      <w:numFmt w:val="bullet"/>
      <w:lvlText w:val="•"/>
      <w:lvlJc w:val="left"/>
      <w:pPr>
        <w:ind w:left="7420" w:hanging="272"/>
      </w:pPr>
      <w:rPr>
        <w:rFonts w:hint="default"/>
        <w:lang w:val="en-US" w:eastAsia="en-US" w:bidi="ar-SA"/>
      </w:rPr>
    </w:lvl>
    <w:lvl w:ilvl="8" w:tplc="94BEDC5C">
      <w:numFmt w:val="bullet"/>
      <w:lvlText w:val="•"/>
      <w:lvlJc w:val="left"/>
      <w:pPr>
        <w:ind w:left="8340" w:hanging="272"/>
      </w:pPr>
      <w:rPr>
        <w:rFonts w:hint="default"/>
        <w:lang w:val="en-US" w:eastAsia="en-US" w:bidi="ar-SA"/>
      </w:rPr>
    </w:lvl>
  </w:abstractNum>
  <w:num w:numId="1" w16cid:durableId="893587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B62777"/>
    <w:rsid w:val="00614F9F"/>
    <w:rsid w:val="00B62777"/>
    <w:rsid w:val="00E546B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FDAC8C5"/>
  <w15:docId w15:val="{27153200-F5F7-4B78-92A3-534A79164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Titre">
    <w:name w:val="Title"/>
    <w:basedOn w:val="Normal"/>
    <w:uiPriority w:val="10"/>
    <w:qFormat/>
    <w:pPr>
      <w:spacing w:before="113" w:line="438" w:lineRule="exact"/>
      <w:ind w:left="700"/>
    </w:pPr>
    <w:rPr>
      <w:b/>
      <w:bCs/>
      <w:sz w:val="36"/>
      <w:szCs w:val="36"/>
    </w:rPr>
  </w:style>
  <w:style w:type="paragraph" w:styleId="Paragraphedeliste">
    <w:name w:val="List Paragraph"/>
    <w:basedOn w:val="Normal"/>
    <w:uiPriority w:val="1"/>
    <w:qFormat/>
    <w:pPr>
      <w:ind w:left="971" w:hanging="27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nancy.andrews@oceansupercluster.ca"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653</Words>
  <Characters>3592</Characters>
  <Application>Microsoft Office Word</Application>
  <DocSecurity>0</DocSecurity>
  <Lines>29</Lines>
  <Paragraphs>8</Paragraphs>
  <ScaleCrop>false</ScaleCrop>
  <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Shannahan</dc:creator>
  <cp:lastModifiedBy>Guy Vandal</cp:lastModifiedBy>
  <cp:revision>2</cp:revision>
  <dcterms:created xsi:type="dcterms:W3CDTF">2025-06-18T18:21:00Z</dcterms:created>
  <dcterms:modified xsi:type="dcterms:W3CDTF">2025-07-01T15:21:00Z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2023-07-14T00:00:00Z</vt:filetime>
  </property>
  <property fmtid="{D5CDD505-2E9C-101B-9397-08002B2CF9AE}" pid="3" name="Creator">
    <vt:lpwstr>Acrobat PDFMaker 17 for Word</vt:lpwstr>
  </property>
  <property fmtid="{D5CDD505-2E9C-101B-9397-08002B2CF9AE}" pid="4" name="LastSaved">
    <vt:filetime>2025-06-18T00:00:00Z</vt:filetime>
  </property>
</Properties>
</file>